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E73" w:rsidRPr="00D57E0F" w:rsidRDefault="00BE7E73">
      <w:pPr>
        <w:spacing w:line="99" w:lineRule="exact"/>
        <w:rPr>
          <w:rFonts w:ascii="Arial" w:hAnsi="Arial" w:cs="Arial"/>
          <w:sz w:val="20"/>
          <w:szCs w:val="20"/>
        </w:rPr>
      </w:pPr>
    </w:p>
    <w:tbl>
      <w:tblPr>
        <w:tblStyle w:val="TableGrid"/>
        <w:tblW w:w="97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
        <w:gridCol w:w="3798"/>
        <w:gridCol w:w="660"/>
        <w:gridCol w:w="4538"/>
        <w:gridCol w:w="565"/>
      </w:tblGrid>
      <w:tr w:rsidR="00D57E0F" w:rsidRPr="00BD0932" w:rsidTr="006C0B2D">
        <w:trPr>
          <w:trHeight w:val="1995"/>
        </w:trPr>
        <w:tc>
          <w:tcPr>
            <w:tcW w:w="4683" w:type="dxa"/>
            <w:gridSpan w:val="3"/>
            <w:hideMark/>
          </w:tcPr>
          <w:p w:rsidR="00D57E0F" w:rsidRDefault="00D57E0F" w:rsidP="00D57E0F">
            <w:pPr>
              <w:pStyle w:val="Vnbnnidung0"/>
              <w:tabs>
                <w:tab w:val="left" w:pos="4093"/>
              </w:tabs>
              <w:spacing w:after="0" w:line="240" w:lineRule="auto"/>
              <w:ind w:firstLine="0"/>
              <w:jc w:val="center"/>
              <w:rPr>
                <w:rFonts w:ascii="Arial" w:hAnsi="Arial" w:cs="Arial"/>
                <w:i w:val="0"/>
                <w:iCs w:val="0"/>
                <w:sz w:val="20"/>
                <w:szCs w:val="20"/>
              </w:rPr>
            </w:pPr>
            <w:bookmarkStart w:id="0" w:name="_GoBack"/>
            <w:bookmarkEnd w:id="0"/>
            <w:r w:rsidRPr="00D57E0F">
              <w:rPr>
                <w:rFonts w:ascii="Arial" w:hAnsi="Arial" w:cs="Arial"/>
                <w:i w:val="0"/>
                <w:iCs w:val="0"/>
                <w:sz w:val="20"/>
                <w:szCs w:val="20"/>
              </w:rPr>
              <w:t>TỔNG CỤC THUẾ</w:t>
            </w:r>
          </w:p>
          <w:p w:rsidR="00D57E0F" w:rsidRPr="00047FB8" w:rsidRDefault="00D57E0F" w:rsidP="00D57E0F">
            <w:pPr>
              <w:pStyle w:val="Vnbnnidung0"/>
              <w:tabs>
                <w:tab w:val="left" w:pos="4093"/>
              </w:tabs>
              <w:spacing w:after="0" w:line="240" w:lineRule="auto"/>
              <w:ind w:firstLine="0"/>
              <w:jc w:val="center"/>
              <w:rPr>
                <w:rFonts w:ascii="Arial" w:hAnsi="Arial" w:cs="Arial"/>
                <w:sz w:val="20"/>
                <w:szCs w:val="20"/>
              </w:rPr>
            </w:pPr>
            <w:r w:rsidRPr="00D57E0F">
              <w:rPr>
                <w:rFonts w:ascii="Arial" w:hAnsi="Arial" w:cs="Arial"/>
                <w:b/>
                <w:bCs/>
                <w:i w:val="0"/>
                <w:iCs w:val="0"/>
                <w:sz w:val="20"/>
                <w:szCs w:val="20"/>
              </w:rPr>
              <w:t>CỤC THUẾ TỈNH HẢI DƯƠNG</w:t>
            </w:r>
          </w:p>
          <w:p w:rsidR="00D57E0F" w:rsidRPr="00047FB8" w:rsidRDefault="00D57E0F" w:rsidP="00D57E0F">
            <w:pPr>
              <w:pStyle w:val="Vnbnnidung20"/>
              <w:spacing w:line="233" w:lineRule="auto"/>
              <w:ind w:firstLine="0"/>
              <w:jc w:val="center"/>
              <w:rPr>
                <w:rFonts w:ascii="Arial" w:hAnsi="Arial" w:cs="Arial"/>
                <w:sz w:val="20"/>
                <w:szCs w:val="20"/>
              </w:rPr>
            </w:pPr>
            <w:r w:rsidRPr="00D57E0F">
              <w:rPr>
                <w:rFonts w:ascii="Arial" w:hAnsi="Arial" w:cs="Arial"/>
                <w:sz w:val="20"/>
                <w:szCs w:val="20"/>
              </w:rPr>
              <w:t>Số: 1930 /CTHDU-TTHT</w:t>
            </w:r>
            <w:r w:rsidRPr="00D57E0F">
              <w:rPr>
                <w:rFonts w:ascii="Arial" w:hAnsi="Arial" w:cs="Arial"/>
                <w:sz w:val="20"/>
                <w:szCs w:val="20"/>
              </w:rPr>
              <w:br/>
              <w:t>V/v Chính sách thuế GTGT</w:t>
            </w:r>
          </w:p>
        </w:tc>
        <w:tc>
          <w:tcPr>
            <w:tcW w:w="5103" w:type="dxa"/>
            <w:gridSpan w:val="2"/>
            <w:hideMark/>
          </w:tcPr>
          <w:p w:rsidR="00D57E0F" w:rsidRPr="00BD0932" w:rsidRDefault="00D57E0F" w:rsidP="006C0B2D">
            <w:pPr>
              <w:pStyle w:val="Vnbnnidung0"/>
              <w:ind w:right="440" w:firstLine="284"/>
              <w:jc w:val="center"/>
              <w:rPr>
                <w:rFonts w:ascii="Arial" w:hAnsi="Arial" w:cs="Arial"/>
                <w:b/>
                <w:bCs/>
                <w:i w:val="0"/>
                <w:color w:val="auto"/>
                <w:sz w:val="20"/>
                <w:szCs w:val="20"/>
              </w:rPr>
            </w:pPr>
            <w:r w:rsidRPr="00BD0932">
              <w:rPr>
                <w:rFonts w:ascii="Arial" w:hAnsi="Arial" w:cs="Arial"/>
                <w:b/>
                <w:bCs/>
                <w:i w:val="0"/>
                <w:color w:val="auto"/>
                <w:sz w:val="20"/>
                <w:szCs w:val="20"/>
              </w:rPr>
              <w:t>C</w:t>
            </w:r>
            <w:r w:rsidRPr="00BD0932">
              <w:rPr>
                <w:rFonts w:ascii="Arial" w:hAnsi="Arial" w:cs="Arial"/>
                <w:b/>
                <w:bCs/>
                <w:i w:val="0"/>
                <w:color w:val="auto"/>
                <w:sz w:val="20"/>
                <w:szCs w:val="20"/>
                <w:lang w:val="en-US"/>
              </w:rPr>
              <w:t>Ộ</w:t>
            </w:r>
            <w:r w:rsidRPr="00BD0932">
              <w:rPr>
                <w:rFonts w:ascii="Arial" w:hAnsi="Arial" w:cs="Arial"/>
                <w:b/>
                <w:bCs/>
                <w:i w:val="0"/>
                <w:color w:val="auto"/>
                <w:sz w:val="20"/>
                <w:szCs w:val="20"/>
              </w:rPr>
              <w:t>NG HOÀ XÃ HỘI CHỦ NGHĨA VIỆT NAM</w:t>
            </w:r>
          </w:p>
          <w:p w:rsidR="00D57E0F" w:rsidRPr="00BD0932" w:rsidRDefault="00D57E0F" w:rsidP="006C0B2D">
            <w:pPr>
              <w:pStyle w:val="Vnbnnidung0"/>
              <w:ind w:right="440" w:firstLine="284"/>
              <w:jc w:val="center"/>
              <w:rPr>
                <w:rFonts w:ascii="Arial" w:hAnsi="Arial" w:cs="Arial"/>
                <w:b/>
                <w:bCs/>
                <w:i w:val="0"/>
                <w:color w:val="auto"/>
                <w:sz w:val="20"/>
                <w:szCs w:val="20"/>
              </w:rPr>
            </w:pPr>
            <w:r w:rsidRPr="00BD0932">
              <w:rPr>
                <w:rFonts w:ascii="Arial" w:hAnsi="Arial" w:cs="Arial"/>
                <w:b/>
                <w:bCs/>
                <w:i w:val="0"/>
                <w:color w:val="auto"/>
                <w:sz w:val="20"/>
                <w:szCs w:val="20"/>
              </w:rPr>
              <w:t>Độc lập - Tự do - Hạnh phúc</w:t>
            </w:r>
          </w:p>
          <w:p w:rsidR="00D57E0F" w:rsidRPr="00BD0932" w:rsidRDefault="00D57E0F" w:rsidP="00D57E0F">
            <w:pPr>
              <w:pStyle w:val="Vnbnnidung0"/>
              <w:spacing w:after="960"/>
              <w:ind w:right="400" w:firstLine="0"/>
              <w:jc w:val="right"/>
              <w:rPr>
                <w:rFonts w:ascii="Arial" w:hAnsi="Arial" w:cs="Arial"/>
                <w:color w:val="auto"/>
                <w:sz w:val="20"/>
                <w:szCs w:val="20"/>
              </w:rPr>
            </w:pPr>
            <w:r>
              <w:rPr>
                <w:rFonts w:ascii="Arial" w:hAnsi="Arial" w:cs="Arial"/>
                <w:color w:val="auto"/>
                <w:sz w:val="20"/>
                <w:szCs w:val="20"/>
                <w:lang w:val="en-US"/>
              </w:rPr>
              <w:t>Hải Dương</w:t>
            </w:r>
            <w:r w:rsidRPr="00BD0932">
              <w:rPr>
                <w:rFonts w:ascii="Arial" w:hAnsi="Arial" w:cs="Arial"/>
                <w:color w:val="auto"/>
                <w:sz w:val="20"/>
                <w:szCs w:val="20"/>
              </w:rPr>
              <w:t xml:space="preserve">, ngày </w:t>
            </w:r>
            <w:r>
              <w:rPr>
                <w:rFonts w:ascii="Arial" w:hAnsi="Arial" w:cs="Arial"/>
                <w:color w:val="auto"/>
                <w:sz w:val="20"/>
                <w:szCs w:val="20"/>
                <w:lang w:val="en-US"/>
              </w:rPr>
              <w:t>06</w:t>
            </w:r>
            <w:r w:rsidRPr="00BD0932">
              <w:rPr>
                <w:rFonts w:ascii="Arial" w:hAnsi="Arial" w:cs="Arial"/>
                <w:color w:val="auto"/>
                <w:sz w:val="20"/>
                <w:szCs w:val="20"/>
              </w:rPr>
              <w:t xml:space="preserve"> tháng 0</w:t>
            </w:r>
            <w:r>
              <w:rPr>
                <w:rFonts w:ascii="Arial" w:hAnsi="Arial" w:cs="Arial"/>
                <w:color w:val="auto"/>
                <w:sz w:val="20"/>
                <w:szCs w:val="20"/>
                <w:lang w:val="en-US"/>
              </w:rPr>
              <w:t>3</w:t>
            </w:r>
            <w:r w:rsidRPr="00BD0932">
              <w:rPr>
                <w:rFonts w:ascii="Arial" w:hAnsi="Arial" w:cs="Arial"/>
                <w:color w:val="auto"/>
                <w:sz w:val="20"/>
                <w:szCs w:val="20"/>
              </w:rPr>
              <w:t xml:space="preserve"> năm 2025</w:t>
            </w:r>
          </w:p>
        </w:tc>
      </w:tr>
      <w:tr w:rsidR="00D57E0F" w:rsidRPr="001C31C1" w:rsidTr="006C0B2D">
        <w:trPr>
          <w:gridBefore w:val="1"/>
          <w:gridAfter w:val="1"/>
          <w:wBefore w:w="225" w:type="dxa"/>
          <w:wAfter w:w="565" w:type="dxa"/>
        </w:trPr>
        <w:tc>
          <w:tcPr>
            <w:tcW w:w="3798" w:type="dxa"/>
          </w:tcPr>
          <w:p w:rsidR="00D57E0F" w:rsidRPr="001C31C1" w:rsidRDefault="00D57E0F" w:rsidP="006C0B2D">
            <w:pPr>
              <w:pStyle w:val="Vnbnnidung0"/>
              <w:spacing w:after="120"/>
              <w:ind w:firstLine="284"/>
              <w:jc w:val="center"/>
              <w:rPr>
                <w:rFonts w:ascii="Arial" w:hAnsi="Arial" w:cs="Arial"/>
                <w:i w:val="0"/>
                <w:iCs w:val="0"/>
                <w:color w:val="auto"/>
                <w:sz w:val="20"/>
                <w:szCs w:val="20"/>
              </w:rPr>
            </w:pPr>
            <w:r w:rsidRPr="001C31C1">
              <w:rPr>
                <w:rFonts w:ascii="Arial" w:hAnsi="Arial" w:cs="Arial"/>
                <w:i w:val="0"/>
                <w:color w:val="auto"/>
                <w:sz w:val="20"/>
                <w:szCs w:val="20"/>
              </w:rPr>
              <w:t>Kính gửi:</w:t>
            </w:r>
          </w:p>
        </w:tc>
        <w:tc>
          <w:tcPr>
            <w:tcW w:w="5198" w:type="dxa"/>
            <w:gridSpan w:val="2"/>
          </w:tcPr>
          <w:p w:rsidR="00D57E0F" w:rsidRPr="00D57E0F" w:rsidRDefault="00D57E0F" w:rsidP="00D57E0F">
            <w:pPr>
              <w:pStyle w:val="Vnbnnidung0"/>
              <w:spacing w:after="0" w:line="240" w:lineRule="auto"/>
              <w:ind w:firstLine="0"/>
              <w:rPr>
                <w:rFonts w:ascii="Arial" w:hAnsi="Arial" w:cs="Arial"/>
                <w:sz w:val="20"/>
                <w:szCs w:val="20"/>
              </w:rPr>
            </w:pPr>
            <w:r w:rsidRPr="00D57E0F">
              <w:rPr>
                <w:rFonts w:ascii="Arial" w:hAnsi="Arial" w:cs="Arial"/>
                <w:i w:val="0"/>
                <w:iCs w:val="0"/>
                <w:sz w:val="20"/>
                <w:szCs w:val="20"/>
              </w:rPr>
              <w:t>Công ty TNHH KPF Việt Nam;</w:t>
            </w:r>
            <w:r w:rsidRPr="00D57E0F">
              <w:rPr>
                <w:rFonts w:ascii="Arial" w:hAnsi="Arial" w:cs="Arial"/>
                <w:i w:val="0"/>
                <w:iCs w:val="0"/>
                <w:sz w:val="20"/>
                <w:szCs w:val="20"/>
              </w:rPr>
              <w:br/>
              <w:t xml:space="preserve">Mã số thuế: </w:t>
            </w:r>
            <w:r w:rsidRPr="00D57E0F">
              <w:rPr>
                <w:rFonts w:ascii="Arial" w:eastAsia="Calibri" w:hAnsi="Arial" w:cs="Arial"/>
                <w:i w:val="0"/>
                <w:iCs w:val="0"/>
                <w:sz w:val="20"/>
                <w:szCs w:val="20"/>
              </w:rPr>
              <w:t>0</w:t>
            </w:r>
            <w:r w:rsidRPr="00D57E0F">
              <w:rPr>
                <w:rFonts w:ascii="Arial" w:hAnsi="Arial" w:cs="Arial"/>
                <w:i w:val="0"/>
                <w:iCs w:val="0"/>
                <w:sz w:val="20"/>
                <w:szCs w:val="20"/>
              </w:rPr>
              <w:t>800822626;</w:t>
            </w:r>
          </w:p>
          <w:p w:rsidR="00D57E0F" w:rsidRPr="001C31C1" w:rsidRDefault="00D57E0F" w:rsidP="00D57E0F">
            <w:pPr>
              <w:rPr>
                <w:rFonts w:ascii="Arial" w:hAnsi="Arial" w:cs="Arial"/>
                <w:iCs/>
                <w:color w:val="auto"/>
                <w:sz w:val="20"/>
                <w:szCs w:val="20"/>
              </w:rPr>
            </w:pPr>
            <w:r w:rsidRPr="00D57E0F">
              <w:rPr>
                <w:rFonts w:ascii="Arial" w:hAnsi="Arial" w:cs="Arial"/>
                <w:sz w:val="20"/>
                <w:szCs w:val="20"/>
              </w:rPr>
              <w:t>Địa chỉ: Lô đất XN2 và lô đất XN2-1A, khu công nghiệp Đại An mở rộng, thị</w:t>
            </w:r>
            <w:r>
              <w:rPr>
                <w:rFonts w:ascii="Arial" w:hAnsi="Arial" w:cs="Arial"/>
                <w:sz w:val="20"/>
                <w:szCs w:val="20"/>
                <w:lang w:val="en-US"/>
              </w:rPr>
              <w:t xml:space="preserve"> </w:t>
            </w:r>
            <w:r w:rsidRPr="00D57E0F">
              <w:rPr>
                <w:rFonts w:ascii="Arial" w:hAnsi="Arial" w:cs="Arial"/>
                <w:sz w:val="20"/>
                <w:szCs w:val="20"/>
              </w:rPr>
              <w:t>trấn Lai Cách, huyện Cẩm Giàng, tỉnh Hả</w:t>
            </w:r>
            <w:r>
              <w:rPr>
                <w:rFonts w:ascii="Arial" w:hAnsi="Arial" w:cs="Arial"/>
                <w:sz w:val="20"/>
                <w:szCs w:val="20"/>
              </w:rPr>
              <w:t>i Dương</w:t>
            </w:r>
          </w:p>
        </w:tc>
      </w:tr>
    </w:tbl>
    <w:p w:rsidR="00BE7E73" w:rsidRPr="00D57E0F" w:rsidRDefault="00D47543" w:rsidP="00D57E0F">
      <w:pPr>
        <w:pStyle w:val="Vnbnnidung0"/>
        <w:spacing w:after="120" w:line="240" w:lineRule="auto"/>
        <w:ind w:firstLine="284"/>
        <w:rPr>
          <w:rFonts w:ascii="Arial" w:hAnsi="Arial" w:cs="Arial"/>
          <w:sz w:val="20"/>
          <w:szCs w:val="20"/>
        </w:rPr>
      </w:pPr>
      <w:r w:rsidRPr="00D57E0F">
        <w:rPr>
          <w:rFonts w:ascii="Arial" w:hAnsi="Arial" w:cs="Arial"/>
          <w:i w:val="0"/>
          <w:iCs w:val="0"/>
          <w:sz w:val="20"/>
          <w:szCs w:val="20"/>
        </w:rPr>
        <w:t>Trả lời Văn bản số CV/KPF 20250103 và Văn bản bổ sung số CV/KPF 20250211 của Công ty TNHH KPF Việt Nam hỏi về thuế GTGT nộp thay nhà thầu nước ngoài. Về nội dung này, Cục Thuế tỉnh Hải Dương có ý kiến như sau:</w:t>
      </w:r>
    </w:p>
    <w:p w:rsidR="00BE7E73" w:rsidRPr="00D57E0F" w:rsidRDefault="00D47543" w:rsidP="00D57E0F">
      <w:pPr>
        <w:pStyle w:val="Vnbnnidung0"/>
        <w:spacing w:after="120" w:line="240" w:lineRule="auto"/>
        <w:ind w:firstLine="284"/>
        <w:rPr>
          <w:rFonts w:ascii="Arial" w:hAnsi="Arial" w:cs="Arial"/>
          <w:sz w:val="20"/>
          <w:szCs w:val="20"/>
        </w:rPr>
      </w:pPr>
      <w:r w:rsidRPr="00D57E0F">
        <w:rPr>
          <w:rFonts w:ascii="Arial" w:hAnsi="Arial" w:cs="Arial"/>
          <w:i w:val="0"/>
          <w:iCs w:val="0"/>
          <w:sz w:val="20"/>
          <w:szCs w:val="20"/>
        </w:rPr>
        <w:t>Căn cứ Thông tư số 103/2014/TT-BTC ngày 06 thá</w:t>
      </w:r>
      <w:r w:rsidRPr="00D57E0F">
        <w:rPr>
          <w:rFonts w:ascii="Arial" w:hAnsi="Arial" w:cs="Arial"/>
          <w:i w:val="0"/>
          <w:iCs w:val="0"/>
          <w:sz w:val="20"/>
          <w:szCs w:val="20"/>
        </w:rPr>
        <w:t>ng 8 năm 2014 của Bộ Tài chính hướng dẫn thực hiện nghĩa vụ thuế áp dụng đối với tổ chức, cá nhân nước ngoài kinh doanh tại Việt Nam hoặc có thu nhập tại Việt Nam; quy định:</w:t>
      </w:r>
    </w:p>
    <w:p w:rsidR="00BE7E73" w:rsidRPr="00D57E0F" w:rsidRDefault="00D57E0F" w:rsidP="00D57E0F">
      <w:pPr>
        <w:pStyle w:val="Vnbnnidung0"/>
        <w:tabs>
          <w:tab w:val="left" w:pos="1072"/>
        </w:tabs>
        <w:spacing w:after="120" w:line="240" w:lineRule="auto"/>
        <w:ind w:firstLine="284"/>
        <w:rPr>
          <w:rFonts w:ascii="Arial" w:hAnsi="Arial" w:cs="Arial"/>
          <w:sz w:val="20"/>
          <w:szCs w:val="20"/>
        </w:rPr>
      </w:pPr>
      <w:bookmarkStart w:id="1" w:name="bookmark0"/>
      <w:bookmarkEnd w:id="1"/>
      <w:r>
        <w:rPr>
          <w:rFonts w:ascii="Arial" w:hAnsi="Arial" w:cs="Arial"/>
          <w:i w:val="0"/>
          <w:iCs w:val="0"/>
          <w:sz w:val="20"/>
          <w:szCs w:val="20"/>
          <w:lang w:val="en-US"/>
        </w:rPr>
        <w:t xml:space="preserve">- </w:t>
      </w:r>
      <w:r w:rsidR="00D47543" w:rsidRPr="00D57E0F">
        <w:rPr>
          <w:rFonts w:ascii="Arial" w:hAnsi="Arial" w:cs="Arial"/>
          <w:i w:val="0"/>
          <w:iCs w:val="0"/>
          <w:sz w:val="20"/>
          <w:szCs w:val="20"/>
        </w:rPr>
        <w:t>Điều 1. Đối tượng áp dụng</w:t>
      </w:r>
    </w:p>
    <w:p w:rsidR="00BE7E73" w:rsidRPr="00D57E0F" w:rsidRDefault="00D47543" w:rsidP="00D57E0F">
      <w:pPr>
        <w:pStyle w:val="Vnbnnidung0"/>
        <w:spacing w:after="120" w:line="240" w:lineRule="auto"/>
        <w:ind w:firstLine="284"/>
        <w:rPr>
          <w:rFonts w:ascii="Arial" w:hAnsi="Arial" w:cs="Arial"/>
          <w:sz w:val="20"/>
          <w:szCs w:val="20"/>
        </w:rPr>
      </w:pPr>
      <w:r w:rsidRPr="00D57E0F">
        <w:rPr>
          <w:rFonts w:ascii="Arial" w:hAnsi="Arial" w:cs="Arial"/>
          <w:sz w:val="20"/>
          <w:szCs w:val="20"/>
        </w:rPr>
        <w:t>Hướng dẫn tại Thông tư này áp dụng đối với các đối tượng</w:t>
      </w:r>
      <w:r w:rsidRPr="00D57E0F">
        <w:rPr>
          <w:rFonts w:ascii="Arial" w:hAnsi="Arial" w:cs="Arial"/>
          <w:sz w:val="20"/>
          <w:szCs w:val="20"/>
        </w:rPr>
        <w:t xml:space="preserve"> sau (trừ trường hợp nêu tại Điều 2 Chương I):</w:t>
      </w:r>
    </w:p>
    <w:p w:rsidR="00D57E0F" w:rsidRDefault="00D57E0F" w:rsidP="00D57E0F">
      <w:pPr>
        <w:pStyle w:val="Vnbnnidung0"/>
        <w:tabs>
          <w:tab w:val="left" w:pos="1173"/>
        </w:tabs>
        <w:spacing w:after="120" w:line="240" w:lineRule="auto"/>
        <w:ind w:firstLine="284"/>
        <w:rPr>
          <w:rFonts w:ascii="Arial" w:hAnsi="Arial" w:cs="Arial"/>
          <w:sz w:val="20"/>
          <w:szCs w:val="20"/>
        </w:rPr>
      </w:pPr>
      <w:bookmarkStart w:id="2" w:name="bookmark1"/>
      <w:bookmarkEnd w:id="2"/>
      <w:r>
        <w:rPr>
          <w:rFonts w:ascii="Arial" w:hAnsi="Arial" w:cs="Arial"/>
          <w:sz w:val="20"/>
          <w:szCs w:val="20"/>
          <w:lang w:val="en-US"/>
        </w:rPr>
        <w:t xml:space="preserve">1. </w:t>
      </w:r>
      <w:r w:rsidR="00D47543" w:rsidRPr="00D57E0F">
        <w:rPr>
          <w:rFonts w:ascii="Arial" w:hAnsi="Arial" w:cs="Arial"/>
          <w:sz w:val="20"/>
          <w:szCs w:val="20"/>
        </w:rPr>
        <w:t>Tổ chức nước ngoài kinh doanh có cơ sở thường trú tại Việt Nam hoặc không có cơ sở thường trú tại Việt Nam; cá nhân nước ngoài kinh doanh là đối tượng cư trú tại Việt Nam hoặc không là đối tượng cư trú tại Việ</w:t>
      </w:r>
      <w:r w:rsidR="00D47543" w:rsidRPr="00D57E0F">
        <w:rPr>
          <w:rFonts w:ascii="Arial" w:hAnsi="Arial" w:cs="Arial"/>
          <w:sz w:val="20"/>
          <w:szCs w:val="20"/>
        </w:rPr>
        <w:t>t Nam (sau đây gọi chung là Nhà thầu nước ngoài, Nhà thầu phụ nước ngoài) kinh doanh tại Việt Nam hoặc có thu nhập phát sinh tại Việt Nam trên cơ sở hợp đồng, thỏa thuận, hoặc cam kết giữa Nhà thầu nước ngoài với tổ chức, cá nhân Việt Nam hoặc giữa Nhà thầ</w:t>
      </w:r>
      <w:r w:rsidR="00D47543" w:rsidRPr="00D57E0F">
        <w:rPr>
          <w:rFonts w:ascii="Arial" w:hAnsi="Arial" w:cs="Arial"/>
          <w:sz w:val="20"/>
          <w:szCs w:val="20"/>
        </w:rPr>
        <w:t>u nước ngoài với Nhà thầu phụ nước ngoài để thực hiện một phầ</w:t>
      </w:r>
      <w:r>
        <w:rPr>
          <w:rFonts w:ascii="Arial" w:hAnsi="Arial" w:cs="Arial"/>
          <w:sz w:val="20"/>
          <w:szCs w:val="20"/>
        </w:rPr>
        <w:t>n công việc của Hợp đồng nhà thầ</w:t>
      </w:r>
      <w:r w:rsidR="00D47543" w:rsidRPr="00D57E0F">
        <w:rPr>
          <w:rFonts w:ascii="Arial" w:hAnsi="Arial" w:cs="Arial"/>
          <w:sz w:val="20"/>
          <w:szCs w:val="20"/>
        </w:rPr>
        <w:t>u.</w:t>
      </w:r>
      <w:bookmarkStart w:id="3" w:name="bookmark2"/>
      <w:bookmarkEnd w:id="3"/>
    </w:p>
    <w:p w:rsidR="00D57E0F" w:rsidRDefault="00D57E0F" w:rsidP="00D57E0F">
      <w:pPr>
        <w:pStyle w:val="Vnbnnidung0"/>
        <w:tabs>
          <w:tab w:val="left" w:pos="1173"/>
        </w:tabs>
        <w:spacing w:after="120" w:line="240" w:lineRule="auto"/>
        <w:ind w:firstLine="284"/>
        <w:rPr>
          <w:rFonts w:ascii="Arial" w:hAnsi="Arial" w:cs="Arial"/>
          <w:sz w:val="20"/>
          <w:szCs w:val="20"/>
          <w:lang w:val="en-US"/>
        </w:rPr>
      </w:pPr>
      <w:r>
        <w:rPr>
          <w:rFonts w:ascii="Arial" w:hAnsi="Arial" w:cs="Arial"/>
          <w:sz w:val="20"/>
          <w:szCs w:val="20"/>
          <w:lang w:val="en-US"/>
        </w:rPr>
        <w:t>…</w:t>
      </w:r>
    </w:p>
    <w:p w:rsidR="00BE7E73" w:rsidRPr="00D57E0F" w:rsidRDefault="00D47543" w:rsidP="00D57E0F">
      <w:pPr>
        <w:pStyle w:val="Vnbnnidung0"/>
        <w:tabs>
          <w:tab w:val="left" w:pos="1173"/>
        </w:tabs>
        <w:spacing w:after="120" w:line="240" w:lineRule="auto"/>
        <w:ind w:firstLine="284"/>
        <w:rPr>
          <w:rFonts w:ascii="Arial" w:hAnsi="Arial" w:cs="Arial"/>
          <w:sz w:val="20"/>
          <w:szCs w:val="20"/>
        </w:rPr>
      </w:pPr>
      <w:r w:rsidRPr="00D57E0F">
        <w:rPr>
          <w:rFonts w:ascii="Arial" w:hAnsi="Arial" w:cs="Arial"/>
          <w:i w:val="0"/>
          <w:iCs w:val="0"/>
          <w:sz w:val="20"/>
          <w:szCs w:val="20"/>
        </w:rPr>
        <w:t>Điều 3. Giải thích từ ngữ</w:t>
      </w:r>
    </w:p>
    <w:p w:rsidR="00BE7E73" w:rsidRPr="00D57E0F" w:rsidRDefault="00D47543" w:rsidP="00D57E0F">
      <w:pPr>
        <w:pStyle w:val="Vnbnnidung0"/>
        <w:spacing w:after="120" w:line="240" w:lineRule="auto"/>
        <w:ind w:firstLine="284"/>
        <w:rPr>
          <w:rFonts w:ascii="Arial" w:hAnsi="Arial" w:cs="Arial"/>
          <w:sz w:val="20"/>
          <w:szCs w:val="20"/>
        </w:rPr>
      </w:pPr>
      <w:r w:rsidRPr="00D57E0F">
        <w:rPr>
          <w:rFonts w:ascii="Arial" w:hAnsi="Arial" w:cs="Arial"/>
          <w:sz w:val="20"/>
          <w:szCs w:val="20"/>
        </w:rPr>
        <w:t>“Trong Thông tư này, các từ ngữ dưới đây được hiểu như sau:</w:t>
      </w:r>
    </w:p>
    <w:p w:rsidR="00BE7E73" w:rsidRPr="00D57E0F" w:rsidRDefault="00D47543" w:rsidP="00D57E0F">
      <w:pPr>
        <w:pStyle w:val="Vnbnnidung0"/>
        <w:spacing w:after="120" w:line="240" w:lineRule="auto"/>
        <w:ind w:firstLine="284"/>
        <w:rPr>
          <w:rFonts w:ascii="Arial" w:hAnsi="Arial" w:cs="Arial"/>
          <w:sz w:val="20"/>
          <w:szCs w:val="20"/>
        </w:rPr>
      </w:pPr>
      <w:r w:rsidRPr="00D57E0F">
        <w:rPr>
          <w:rFonts w:ascii="Arial" w:hAnsi="Arial" w:cs="Arial"/>
          <w:b/>
          <w:bCs/>
          <w:sz w:val="20"/>
          <w:szCs w:val="20"/>
        </w:rPr>
        <w:t xml:space="preserve">1. </w:t>
      </w:r>
      <w:r w:rsidRPr="00D57E0F">
        <w:rPr>
          <w:rFonts w:ascii="Arial" w:hAnsi="Arial" w:cs="Arial"/>
          <w:sz w:val="20"/>
          <w:szCs w:val="20"/>
        </w:rPr>
        <w:t xml:space="preserve">"Hợp đồng nhà thầu" là hợp đồng, thỏa thuận hoặc cam kết giữa Nhà thầu </w:t>
      </w:r>
      <w:r w:rsidRPr="00D57E0F">
        <w:rPr>
          <w:rFonts w:ascii="Arial" w:hAnsi="Arial" w:cs="Arial"/>
          <w:sz w:val="20"/>
          <w:szCs w:val="20"/>
        </w:rPr>
        <w:t>nước ngoài và Bên Việt Nam.”</w:t>
      </w:r>
    </w:p>
    <w:p w:rsidR="00BE7E73" w:rsidRPr="00D57E0F" w:rsidRDefault="00D57E0F" w:rsidP="00D57E0F">
      <w:pPr>
        <w:pStyle w:val="Vnbnnidung0"/>
        <w:tabs>
          <w:tab w:val="left" w:pos="1072"/>
        </w:tabs>
        <w:spacing w:after="120" w:line="240" w:lineRule="auto"/>
        <w:ind w:firstLine="284"/>
        <w:rPr>
          <w:rFonts w:ascii="Arial" w:hAnsi="Arial" w:cs="Arial"/>
          <w:sz w:val="20"/>
          <w:szCs w:val="20"/>
        </w:rPr>
      </w:pPr>
      <w:bookmarkStart w:id="4" w:name="bookmark3"/>
      <w:bookmarkEnd w:id="4"/>
      <w:r>
        <w:rPr>
          <w:rFonts w:ascii="Arial" w:hAnsi="Arial" w:cs="Arial"/>
          <w:sz w:val="20"/>
          <w:szCs w:val="20"/>
          <w:lang w:val="en-US"/>
        </w:rPr>
        <w:t xml:space="preserve">- </w:t>
      </w:r>
      <w:r w:rsidR="00D47543" w:rsidRPr="00D57E0F">
        <w:rPr>
          <w:rFonts w:ascii="Arial" w:hAnsi="Arial" w:cs="Arial"/>
          <w:sz w:val="20"/>
          <w:szCs w:val="20"/>
        </w:rPr>
        <w:t>Điều 4. Người nộp thuế</w:t>
      </w:r>
    </w:p>
    <w:p w:rsidR="00BE7E73" w:rsidRPr="00D57E0F" w:rsidRDefault="00D47543" w:rsidP="00D57E0F">
      <w:pPr>
        <w:pStyle w:val="Vnbnnidung0"/>
        <w:spacing w:after="120" w:line="240" w:lineRule="auto"/>
        <w:ind w:firstLine="284"/>
        <w:rPr>
          <w:rFonts w:ascii="Arial" w:hAnsi="Arial" w:cs="Arial"/>
          <w:sz w:val="20"/>
          <w:szCs w:val="20"/>
        </w:rPr>
      </w:pPr>
      <w:r w:rsidRPr="00D57E0F">
        <w:rPr>
          <w:rFonts w:ascii="Arial" w:hAnsi="Arial" w:cs="Arial"/>
          <w:sz w:val="20"/>
          <w:szCs w:val="20"/>
        </w:rPr>
        <w:t>“...Người nộp thuế theo hướng dẫn tại khoản 2 Điều 4 ChươngI có trách nhiệm khấu trừ số thuế giá trị gia tăng, thuế thu nhập doanh nghiệp hướng dẫn tại Mục 3 Chương II trước khi thanh toán cho Nhà thầu nư</w:t>
      </w:r>
      <w:r w:rsidRPr="00D57E0F">
        <w:rPr>
          <w:rFonts w:ascii="Arial" w:hAnsi="Arial" w:cs="Arial"/>
          <w:sz w:val="20"/>
          <w:szCs w:val="20"/>
        </w:rPr>
        <w:t>ớc ngoài, Nhà thầu phụ nước ngoài. ”.</w:t>
      </w:r>
    </w:p>
    <w:p w:rsidR="00BE7E73" w:rsidRPr="00D57E0F" w:rsidRDefault="00D47543" w:rsidP="00D57E0F">
      <w:pPr>
        <w:pStyle w:val="Vnbnnidung0"/>
        <w:spacing w:after="120" w:line="240" w:lineRule="auto"/>
        <w:ind w:firstLine="284"/>
        <w:rPr>
          <w:rFonts w:ascii="Arial" w:hAnsi="Arial" w:cs="Arial"/>
          <w:sz w:val="20"/>
          <w:szCs w:val="20"/>
        </w:rPr>
      </w:pPr>
      <w:r w:rsidRPr="00D57E0F">
        <w:rPr>
          <w:rFonts w:ascii="Arial" w:hAnsi="Arial" w:cs="Arial"/>
          <w:i w:val="0"/>
          <w:iCs w:val="0"/>
          <w:sz w:val="20"/>
          <w:szCs w:val="20"/>
        </w:rPr>
        <w:t>Căn cứ quy định tại Điều 14 Thông tư số 219/2013/TT-BTC ngày 31/12/2013 của Bộ Tài chính hướng dẫn về thuế GTGT:</w:t>
      </w:r>
    </w:p>
    <w:p w:rsidR="00BE7E73" w:rsidRPr="00D57E0F" w:rsidRDefault="00D47543" w:rsidP="00D57E0F">
      <w:pPr>
        <w:pStyle w:val="Vnbnnidung0"/>
        <w:spacing w:after="120" w:line="240" w:lineRule="auto"/>
        <w:ind w:firstLine="284"/>
        <w:rPr>
          <w:rFonts w:ascii="Arial" w:hAnsi="Arial" w:cs="Arial"/>
          <w:sz w:val="20"/>
          <w:szCs w:val="20"/>
        </w:rPr>
      </w:pPr>
      <w:r w:rsidRPr="00D57E0F">
        <w:rPr>
          <w:rFonts w:ascii="Arial" w:hAnsi="Arial" w:cs="Arial"/>
          <w:sz w:val="20"/>
          <w:szCs w:val="20"/>
        </w:rPr>
        <w:t>“Điều 14. Nguyên tắc khấu trừ thuế giá trị gia tăng đầu vào</w:t>
      </w:r>
    </w:p>
    <w:p w:rsidR="00D57E0F" w:rsidRDefault="00D47543" w:rsidP="00D57E0F">
      <w:pPr>
        <w:pStyle w:val="Vnbnnidung0"/>
        <w:spacing w:after="120" w:line="240" w:lineRule="auto"/>
        <w:ind w:firstLine="284"/>
        <w:rPr>
          <w:rFonts w:ascii="Arial" w:hAnsi="Arial" w:cs="Arial"/>
          <w:sz w:val="20"/>
          <w:szCs w:val="20"/>
        </w:rPr>
      </w:pPr>
      <w:r w:rsidRPr="00D57E0F">
        <w:rPr>
          <w:rFonts w:ascii="Arial" w:hAnsi="Arial" w:cs="Arial"/>
          <w:sz w:val="20"/>
          <w:szCs w:val="20"/>
        </w:rPr>
        <w:t xml:space="preserve">1. Thuế GTGT đầu vào của hàng hóa, dịch vụ </w:t>
      </w:r>
      <w:r w:rsidRPr="00D57E0F">
        <w:rPr>
          <w:rFonts w:ascii="Arial" w:hAnsi="Arial" w:cs="Arial"/>
          <w:sz w:val="20"/>
          <w:szCs w:val="20"/>
        </w:rPr>
        <w:t>dùng cho sản xuất, kinh doanh hàng hóa, dịch vụ chịu thuế GTGT được khấu trừ toàn bộ, kể cả thuế GTGT đầu vào không được bồi thường của hàng hóa chịu thuế GTGT bị tổn thất.</w:t>
      </w:r>
      <w:bookmarkStart w:id="5" w:name="bookmark4"/>
      <w:bookmarkEnd w:id="5"/>
    </w:p>
    <w:p w:rsidR="00D57E0F" w:rsidRPr="00D57E0F" w:rsidRDefault="00D57E0F" w:rsidP="00D57E0F">
      <w:pPr>
        <w:pStyle w:val="Vnbnnidung0"/>
        <w:spacing w:after="120" w:line="240" w:lineRule="auto"/>
        <w:ind w:firstLine="284"/>
        <w:rPr>
          <w:rFonts w:ascii="Arial" w:hAnsi="Arial" w:cs="Arial"/>
          <w:sz w:val="20"/>
          <w:szCs w:val="20"/>
          <w:lang w:val="en-US"/>
        </w:rPr>
      </w:pPr>
      <w:r>
        <w:rPr>
          <w:rFonts w:ascii="Arial" w:hAnsi="Arial" w:cs="Arial"/>
          <w:sz w:val="20"/>
          <w:szCs w:val="20"/>
          <w:lang w:val="en-US"/>
        </w:rPr>
        <w:t>…</w:t>
      </w:r>
    </w:p>
    <w:p w:rsidR="00D57E0F" w:rsidRDefault="00D57E0F" w:rsidP="00D57E0F">
      <w:pPr>
        <w:pStyle w:val="Vnbnnidung0"/>
        <w:spacing w:after="120" w:line="240" w:lineRule="auto"/>
        <w:ind w:firstLine="284"/>
        <w:rPr>
          <w:rFonts w:ascii="Arial" w:hAnsi="Arial" w:cs="Arial"/>
          <w:sz w:val="20"/>
          <w:szCs w:val="20"/>
        </w:rPr>
      </w:pPr>
      <w:r>
        <w:rPr>
          <w:rFonts w:ascii="Arial" w:hAnsi="Arial" w:cs="Arial"/>
          <w:sz w:val="20"/>
          <w:szCs w:val="20"/>
          <w:lang w:val="en-US"/>
        </w:rPr>
        <w:t xml:space="preserve">9. </w:t>
      </w:r>
      <w:r w:rsidR="00D47543" w:rsidRPr="00D57E0F">
        <w:rPr>
          <w:rFonts w:ascii="Arial" w:hAnsi="Arial" w:cs="Arial"/>
          <w:sz w:val="20"/>
          <w:szCs w:val="20"/>
        </w:rPr>
        <w:t>Số thuế GTGT đầu vào không được khấu trừ, cơ sở kinh doanh được hạch toán vào chi p</w:t>
      </w:r>
      <w:r w:rsidR="00D47543" w:rsidRPr="00D57E0F">
        <w:rPr>
          <w:rFonts w:ascii="Arial" w:hAnsi="Arial" w:cs="Arial"/>
          <w:sz w:val="20"/>
          <w:szCs w:val="20"/>
        </w:rPr>
        <w:t>hí để tính thuế thu nhập doanh nghiệp hoặc tính vào nguyên giá của tài sản cố định, trừ số thuế GTGT của hàng hóa, dịch vụ mua vào từng lần có giá trị từ hai mươi triệu đồng trở lên không có chứng từ thanh toán không dùng tiền mặt. ”</w:t>
      </w:r>
    </w:p>
    <w:p w:rsidR="00BE7E73" w:rsidRPr="00D57E0F" w:rsidRDefault="00D47543" w:rsidP="00D57E0F">
      <w:pPr>
        <w:pStyle w:val="Vnbnnidung0"/>
        <w:spacing w:after="120" w:line="240" w:lineRule="auto"/>
        <w:ind w:firstLine="284"/>
        <w:rPr>
          <w:rFonts w:ascii="Arial" w:hAnsi="Arial" w:cs="Arial"/>
          <w:sz w:val="20"/>
          <w:szCs w:val="20"/>
        </w:rPr>
      </w:pPr>
      <w:r w:rsidRPr="00D57E0F">
        <w:rPr>
          <w:rFonts w:ascii="Arial" w:hAnsi="Arial" w:cs="Arial"/>
          <w:i w:val="0"/>
          <w:iCs w:val="0"/>
          <w:sz w:val="20"/>
          <w:szCs w:val="20"/>
        </w:rPr>
        <w:t>Căn cứ Khoản 10 Điều 1</w:t>
      </w:r>
      <w:r w:rsidRPr="00D57E0F">
        <w:rPr>
          <w:rFonts w:ascii="Arial" w:hAnsi="Arial" w:cs="Arial"/>
          <w:i w:val="0"/>
          <w:iCs w:val="0"/>
          <w:sz w:val="20"/>
          <w:szCs w:val="20"/>
        </w:rPr>
        <w:t xml:space="preserve"> Thông tư 26/2015/TT-BTC ngày 27/02/2015 của Bộ Tài chính hướng dẫn về thuế GTGT và quản lý thuế; quy định:</w:t>
      </w:r>
    </w:p>
    <w:p w:rsidR="00BE7E73" w:rsidRPr="00D57E0F" w:rsidRDefault="00D47543" w:rsidP="00D57E0F">
      <w:pPr>
        <w:pStyle w:val="Vnbnnidung0"/>
        <w:spacing w:after="120" w:line="240" w:lineRule="auto"/>
        <w:ind w:firstLine="284"/>
        <w:rPr>
          <w:rFonts w:ascii="Arial" w:hAnsi="Arial" w:cs="Arial"/>
          <w:sz w:val="20"/>
          <w:szCs w:val="20"/>
        </w:rPr>
      </w:pPr>
      <w:r w:rsidRPr="00D57E0F">
        <w:rPr>
          <w:rFonts w:ascii="Arial" w:hAnsi="Arial" w:cs="Arial"/>
          <w:sz w:val="20"/>
          <w:szCs w:val="20"/>
        </w:rPr>
        <w:t xml:space="preserve">“Điều 1. Sửa đổi, bổ sung một số điều của Thông tư số </w:t>
      </w:r>
      <w:hyperlink r:id="rId7" w:history="1">
        <w:r w:rsidRPr="00D57E0F">
          <w:rPr>
            <w:rFonts w:ascii="Arial" w:hAnsi="Arial" w:cs="Arial"/>
            <w:sz w:val="20"/>
            <w:szCs w:val="20"/>
          </w:rPr>
          <w:t>219/2013/TT-</w:t>
        </w:r>
      </w:hyperlink>
      <w:r w:rsidRPr="00D57E0F">
        <w:rPr>
          <w:rFonts w:ascii="Arial" w:hAnsi="Arial" w:cs="Arial"/>
          <w:sz w:val="20"/>
          <w:szCs w:val="20"/>
        </w:rPr>
        <w:t xml:space="preserve"> </w:t>
      </w:r>
      <w:hyperlink r:id="rId8" w:history="1">
        <w:r w:rsidRPr="00D57E0F">
          <w:rPr>
            <w:rFonts w:ascii="Arial" w:hAnsi="Arial" w:cs="Arial"/>
            <w:sz w:val="20"/>
            <w:szCs w:val="20"/>
          </w:rPr>
          <w:t>BTC</w:t>
        </w:r>
      </w:hyperlink>
      <w:r w:rsidRPr="00D57E0F">
        <w:rPr>
          <w:rFonts w:ascii="Arial" w:hAnsi="Arial" w:cs="Arial"/>
          <w:sz w:val="20"/>
          <w:szCs w:val="20"/>
        </w:rPr>
        <w:t xml:space="preserve"> ngày 31/12/2013 của Bộ Tài </w:t>
      </w:r>
      <w:r w:rsidRPr="00D57E0F">
        <w:rPr>
          <w:rFonts w:ascii="Arial" w:hAnsi="Arial" w:cs="Arial"/>
          <w:sz w:val="20"/>
          <w:szCs w:val="20"/>
        </w:rPr>
        <w:lastRenderedPageBreak/>
        <w:t xml:space="preserve">chính hướng dẫn thi hành Luật Thuế giá trị gia tăng và Nghị định số </w:t>
      </w:r>
      <w:hyperlink r:id="rId9" w:history="1">
        <w:r w:rsidRPr="00D57E0F">
          <w:rPr>
            <w:rFonts w:ascii="Arial" w:hAnsi="Arial" w:cs="Arial"/>
            <w:sz w:val="20"/>
            <w:szCs w:val="20"/>
          </w:rPr>
          <w:t>209/2013/NĐ-CP</w:t>
        </w:r>
      </w:hyperlink>
      <w:r w:rsidRPr="00D57E0F">
        <w:rPr>
          <w:rFonts w:ascii="Arial" w:hAnsi="Arial" w:cs="Arial"/>
          <w:sz w:val="20"/>
          <w:szCs w:val="20"/>
        </w:rPr>
        <w:t xml:space="preserve"> ng</w:t>
      </w:r>
      <w:r w:rsidRPr="00D57E0F">
        <w:rPr>
          <w:rFonts w:ascii="Arial" w:hAnsi="Arial" w:cs="Arial"/>
          <w:sz w:val="20"/>
          <w:szCs w:val="20"/>
        </w:rPr>
        <w:t>ày 18/12/2013 của Chính phủ quy định chi tiết và hướng dẫn thi hành một số điều Luật Thuế giá trị gia tăng (đã được sửa đổi, bổ sung theo Thông tư số</w:t>
      </w:r>
      <w:hyperlink r:id="rId10" w:history="1">
        <w:r w:rsidRPr="00D57E0F">
          <w:rPr>
            <w:rFonts w:ascii="Arial" w:hAnsi="Arial" w:cs="Arial"/>
            <w:sz w:val="20"/>
            <w:szCs w:val="20"/>
          </w:rPr>
          <w:t xml:space="preserve"> 119/2014/TT-BTC</w:t>
        </w:r>
      </w:hyperlink>
      <w:r w:rsidRPr="00D57E0F">
        <w:rPr>
          <w:rFonts w:ascii="Arial" w:hAnsi="Arial" w:cs="Arial"/>
          <w:sz w:val="20"/>
          <w:szCs w:val="20"/>
        </w:rPr>
        <w:t xml:space="preserve"> ngày 25/8/2014 và Thông tư số</w:t>
      </w:r>
      <w:hyperlink r:id="rId11" w:history="1">
        <w:r w:rsidRPr="00D57E0F">
          <w:rPr>
            <w:rFonts w:ascii="Arial" w:hAnsi="Arial" w:cs="Arial"/>
            <w:sz w:val="20"/>
            <w:szCs w:val="20"/>
          </w:rPr>
          <w:t xml:space="preserve"> 151/2014/TT-BTC</w:t>
        </w:r>
      </w:hyperlink>
      <w:r w:rsidRPr="00D57E0F">
        <w:rPr>
          <w:rFonts w:ascii="Arial" w:hAnsi="Arial" w:cs="Arial"/>
          <w:sz w:val="20"/>
          <w:szCs w:val="20"/>
        </w:rPr>
        <w:t xml:space="preserve"> ngày 10/10/2014 của Bộ Tài chính) như sau:</w:t>
      </w:r>
    </w:p>
    <w:p w:rsidR="00BE7E73" w:rsidRPr="00D57E0F" w:rsidRDefault="00D57E0F" w:rsidP="00D57E0F">
      <w:pPr>
        <w:pStyle w:val="Vnbnnidung0"/>
        <w:tabs>
          <w:tab w:val="left" w:pos="1271"/>
        </w:tabs>
        <w:spacing w:after="120" w:line="240" w:lineRule="auto"/>
        <w:ind w:firstLine="284"/>
        <w:rPr>
          <w:rFonts w:ascii="Arial" w:hAnsi="Arial" w:cs="Arial"/>
          <w:sz w:val="20"/>
          <w:szCs w:val="20"/>
        </w:rPr>
      </w:pPr>
      <w:bookmarkStart w:id="6" w:name="bookmark5"/>
      <w:bookmarkEnd w:id="6"/>
      <w:r>
        <w:rPr>
          <w:rFonts w:ascii="Arial" w:hAnsi="Arial" w:cs="Arial"/>
          <w:sz w:val="20"/>
          <w:szCs w:val="20"/>
          <w:lang w:val="en-US"/>
        </w:rPr>
        <w:t xml:space="preserve">10. </w:t>
      </w:r>
      <w:r w:rsidR="00D47543" w:rsidRPr="00D57E0F">
        <w:rPr>
          <w:rFonts w:ascii="Arial" w:hAnsi="Arial" w:cs="Arial"/>
          <w:sz w:val="20"/>
          <w:szCs w:val="20"/>
        </w:rPr>
        <w:t xml:space="preserve">Sửa đổi, bổ sung Điều 15 (đã được sửa đổi, </w:t>
      </w:r>
      <w:r w:rsidR="00D47543" w:rsidRPr="00D57E0F">
        <w:rPr>
          <w:rFonts w:ascii="Arial" w:hAnsi="Arial" w:cs="Arial"/>
          <w:sz w:val="20"/>
          <w:szCs w:val="20"/>
        </w:rPr>
        <w:t>bổ sung tại Thông tư số</w:t>
      </w:r>
      <w:hyperlink r:id="rId12" w:history="1">
        <w:r w:rsidR="00D47543" w:rsidRPr="00D57E0F">
          <w:rPr>
            <w:rFonts w:ascii="Arial" w:hAnsi="Arial" w:cs="Arial"/>
            <w:sz w:val="20"/>
            <w:szCs w:val="20"/>
          </w:rPr>
          <w:t xml:space="preserve"> 119/2014/TT-BTC</w:t>
        </w:r>
      </w:hyperlink>
      <w:r w:rsidR="00D47543" w:rsidRPr="00D57E0F">
        <w:rPr>
          <w:rFonts w:ascii="Arial" w:hAnsi="Arial" w:cs="Arial"/>
          <w:sz w:val="20"/>
          <w:szCs w:val="20"/>
        </w:rPr>
        <w:t xml:space="preserve"> ngày 25/8/2014 và Thông tư số</w:t>
      </w:r>
      <w:hyperlink r:id="rId13" w:history="1">
        <w:r w:rsidR="00D47543" w:rsidRPr="00D57E0F">
          <w:rPr>
            <w:rFonts w:ascii="Arial" w:hAnsi="Arial" w:cs="Arial"/>
            <w:sz w:val="20"/>
            <w:szCs w:val="20"/>
          </w:rPr>
          <w:t xml:space="preserve"> 151/2014/TT-BTC</w:t>
        </w:r>
      </w:hyperlink>
      <w:r w:rsidR="00D47543" w:rsidRPr="00D57E0F">
        <w:rPr>
          <w:rFonts w:ascii="Arial" w:hAnsi="Arial" w:cs="Arial"/>
          <w:sz w:val="20"/>
          <w:szCs w:val="20"/>
        </w:rPr>
        <w:t xml:space="preserve"> ngày 10/10/2014 của Bộ Tài chính) như sau:</w:t>
      </w:r>
    </w:p>
    <w:p w:rsidR="00BE7E73" w:rsidRPr="00D57E0F" w:rsidRDefault="00D47543" w:rsidP="00D57E0F">
      <w:pPr>
        <w:pStyle w:val="Vnbnnidung0"/>
        <w:spacing w:after="120" w:line="240" w:lineRule="auto"/>
        <w:ind w:firstLine="284"/>
        <w:rPr>
          <w:rFonts w:ascii="Arial" w:hAnsi="Arial" w:cs="Arial"/>
          <w:sz w:val="20"/>
          <w:szCs w:val="20"/>
        </w:rPr>
      </w:pPr>
      <w:r w:rsidRPr="00D57E0F">
        <w:rPr>
          <w:rFonts w:ascii="Arial" w:hAnsi="Arial" w:cs="Arial"/>
          <w:sz w:val="20"/>
          <w:szCs w:val="20"/>
        </w:rPr>
        <w:t>Điều 15. Điều kiện khấu trừ thuế giá trị gia tăng</w:t>
      </w:r>
      <w:r w:rsidRPr="00D57E0F">
        <w:rPr>
          <w:rFonts w:ascii="Arial" w:hAnsi="Arial" w:cs="Arial"/>
          <w:sz w:val="20"/>
          <w:szCs w:val="20"/>
        </w:rPr>
        <w:t xml:space="preserve"> đầu vào</w:t>
      </w:r>
    </w:p>
    <w:p w:rsidR="00BE7E73" w:rsidRPr="00D57E0F" w:rsidRDefault="00D57E0F" w:rsidP="00D57E0F">
      <w:pPr>
        <w:pStyle w:val="Vnbnnidung0"/>
        <w:tabs>
          <w:tab w:val="left" w:pos="1136"/>
        </w:tabs>
        <w:spacing w:after="120" w:line="240" w:lineRule="auto"/>
        <w:ind w:firstLine="284"/>
        <w:rPr>
          <w:rFonts w:ascii="Arial" w:hAnsi="Arial" w:cs="Arial"/>
          <w:sz w:val="20"/>
          <w:szCs w:val="20"/>
        </w:rPr>
      </w:pPr>
      <w:bookmarkStart w:id="7" w:name="bookmark6"/>
      <w:bookmarkEnd w:id="7"/>
      <w:r>
        <w:rPr>
          <w:rFonts w:ascii="Arial" w:hAnsi="Arial" w:cs="Arial"/>
          <w:sz w:val="20"/>
          <w:szCs w:val="20"/>
          <w:lang w:val="en-US"/>
        </w:rPr>
        <w:t xml:space="preserve">1. </w:t>
      </w:r>
      <w:r w:rsidR="00D47543" w:rsidRPr="00D57E0F">
        <w:rPr>
          <w:rFonts w:ascii="Arial" w:hAnsi="Arial" w:cs="Arial"/>
          <w:sz w:val="20"/>
          <w:szCs w:val="20"/>
        </w:rPr>
        <w:t>Có hóa đơn giá trị gia tăng hợp pháp của hàng hóa, dịch vụ mua vào hoặc chứng từ nộp thuế giá trị gia tăng khâu nhập khẩu hoặc chứng từ nộp thuế GTGT thay cho phía nước ngoài theo hướng dẫn của Bộ Tài chính áp dụng đối với các tổ chức nước ngoài k</w:t>
      </w:r>
      <w:r w:rsidR="00D47543" w:rsidRPr="00D57E0F">
        <w:rPr>
          <w:rFonts w:ascii="Arial" w:hAnsi="Arial" w:cs="Arial"/>
          <w:sz w:val="20"/>
          <w:szCs w:val="20"/>
        </w:rPr>
        <w:t>hông có tư cách pháp nhân Việt Nam và cá nhân nước ngoài kinh doanh hoặc có thu nhập phát sinh tại Việt Nam.</w:t>
      </w:r>
    </w:p>
    <w:p w:rsidR="00BE7E73" w:rsidRPr="00D57E0F" w:rsidRDefault="00D57E0F" w:rsidP="00D57E0F">
      <w:pPr>
        <w:pStyle w:val="Vnbnnidung0"/>
        <w:tabs>
          <w:tab w:val="left" w:pos="1131"/>
        </w:tabs>
        <w:spacing w:after="120" w:line="240" w:lineRule="auto"/>
        <w:ind w:firstLine="284"/>
        <w:rPr>
          <w:rFonts w:ascii="Arial" w:hAnsi="Arial" w:cs="Arial"/>
          <w:sz w:val="20"/>
          <w:szCs w:val="20"/>
        </w:rPr>
      </w:pPr>
      <w:bookmarkStart w:id="8" w:name="bookmark7"/>
      <w:bookmarkEnd w:id="8"/>
      <w:r>
        <w:rPr>
          <w:rFonts w:ascii="Arial" w:hAnsi="Arial" w:cs="Arial"/>
          <w:sz w:val="20"/>
          <w:szCs w:val="20"/>
          <w:lang w:val="en-US"/>
        </w:rPr>
        <w:t xml:space="preserve">2. </w:t>
      </w:r>
      <w:r w:rsidR="00D47543" w:rsidRPr="00D57E0F">
        <w:rPr>
          <w:rFonts w:ascii="Arial" w:hAnsi="Arial" w:cs="Arial"/>
          <w:sz w:val="20"/>
          <w:szCs w:val="20"/>
        </w:rPr>
        <w:t>Có chứng từ thanh toán không dùng tiền mặt đối với hàng hóa, dịch vụ mua vào (bao gồm cả hàng hóa nhập khẩu) từ hai mươi triệu đồng trở lên, trừ cá</w:t>
      </w:r>
      <w:r w:rsidR="00D47543" w:rsidRPr="00D57E0F">
        <w:rPr>
          <w:rFonts w:ascii="Arial" w:hAnsi="Arial" w:cs="Arial"/>
          <w:sz w:val="20"/>
          <w:szCs w:val="20"/>
        </w:rPr>
        <w:t xml:space="preserve">c trường hợp giá trị hàng hóa, dịch vụ nhập khẩu từng lần có giá trị dưới hai mươi triệu đồng, hàng hóa, dịch vụ mua vào từng lần theo hóa đơn dưới hai mươi triệu đồng theo giá đã có thuế GTGT và trường hợp cơ sở kinh doanh nhập khẩu hàng hóa là quà biếu, </w:t>
      </w:r>
      <w:r w:rsidR="00D47543" w:rsidRPr="00D57E0F">
        <w:rPr>
          <w:rFonts w:ascii="Arial" w:hAnsi="Arial" w:cs="Arial"/>
          <w:sz w:val="20"/>
          <w:szCs w:val="20"/>
        </w:rPr>
        <w:t>quà tặng của tổ chức, cá nhân ở nước ngoài.</w:t>
      </w:r>
    </w:p>
    <w:p w:rsidR="00BE7E73" w:rsidRPr="00D57E0F" w:rsidRDefault="00D47543" w:rsidP="00D57E0F">
      <w:pPr>
        <w:pStyle w:val="Vnbnnidung0"/>
        <w:spacing w:after="120" w:line="240" w:lineRule="auto"/>
        <w:ind w:firstLine="284"/>
        <w:rPr>
          <w:rFonts w:ascii="Arial" w:hAnsi="Arial" w:cs="Arial"/>
          <w:sz w:val="20"/>
          <w:szCs w:val="20"/>
        </w:rPr>
      </w:pPr>
      <w:r w:rsidRPr="00D57E0F">
        <w:rPr>
          <w:rFonts w:ascii="Arial" w:hAnsi="Arial" w:cs="Arial"/>
          <w:sz w:val="20"/>
          <w:szCs w:val="20"/>
        </w:rPr>
        <w:t>Chứng từ thanh toán không dùng tiền mặt gồm chứng từ thanh toán qua ngân hàng và chứng từ thanh toán không dùng tiền mặt khác hướng dẫn tại khoản 3 và khoản 4 Điều này.</w:t>
      </w:r>
    </w:p>
    <w:p w:rsidR="00BE7E73" w:rsidRPr="00D57E0F" w:rsidRDefault="00D47543" w:rsidP="00D57E0F">
      <w:pPr>
        <w:pStyle w:val="Vnbnnidung0"/>
        <w:spacing w:after="120" w:line="240" w:lineRule="auto"/>
        <w:ind w:firstLine="284"/>
        <w:rPr>
          <w:rFonts w:ascii="Arial" w:hAnsi="Arial" w:cs="Arial"/>
          <w:sz w:val="20"/>
          <w:szCs w:val="20"/>
        </w:rPr>
      </w:pPr>
      <w:r w:rsidRPr="00D57E0F">
        <w:rPr>
          <w:rFonts w:ascii="Arial" w:hAnsi="Arial" w:cs="Arial"/>
          <w:i w:val="0"/>
          <w:iCs w:val="0"/>
          <w:sz w:val="20"/>
          <w:szCs w:val="20"/>
        </w:rPr>
        <w:t>Căn cứ các quy định nêu trên và nội dung t</w:t>
      </w:r>
      <w:r w:rsidRPr="00D57E0F">
        <w:rPr>
          <w:rFonts w:ascii="Arial" w:hAnsi="Arial" w:cs="Arial"/>
          <w:i w:val="0"/>
          <w:iCs w:val="0"/>
          <w:sz w:val="20"/>
          <w:szCs w:val="20"/>
        </w:rPr>
        <w:t>rình bày tại Văn bản số CV/KPF 20250103 và Văn bản bổ sung số CV/KPF 20250211 của Công ty TNHH KPF Việt Nam. Cục Thuế tỉnh Hải Dương trả lời như sau:</w:t>
      </w:r>
    </w:p>
    <w:p w:rsidR="00BE7E73" w:rsidRPr="00D57E0F" w:rsidRDefault="00D47543" w:rsidP="00D57E0F">
      <w:pPr>
        <w:pStyle w:val="Vnbnnidung0"/>
        <w:spacing w:after="120" w:line="240" w:lineRule="auto"/>
        <w:ind w:firstLine="284"/>
        <w:rPr>
          <w:rFonts w:ascii="Arial" w:hAnsi="Arial" w:cs="Arial"/>
          <w:sz w:val="20"/>
          <w:szCs w:val="20"/>
        </w:rPr>
      </w:pPr>
      <w:r w:rsidRPr="00D57E0F">
        <w:rPr>
          <w:rFonts w:ascii="Arial" w:hAnsi="Arial" w:cs="Arial"/>
          <w:i w:val="0"/>
          <w:iCs w:val="0"/>
          <w:sz w:val="20"/>
          <w:szCs w:val="20"/>
        </w:rPr>
        <w:t>Trường hợp Công ty TNHH KPF Việt Nam có kê khai, nộp thay thuế GTGT cho nhà thầu Công ty TNHH Songhyun Hol</w:t>
      </w:r>
      <w:r w:rsidRPr="00D57E0F">
        <w:rPr>
          <w:rFonts w:ascii="Arial" w:hAnsi="Arial" w:cs="Arial"/>
          <w:i w:val="0"/>
          <w:iCs w:val="0"/>
          <w:sz w:val="20"/>
          <w:szCs w:val="20"/>
        </w:rPr>
        <w:t>dings tại Hàn Quốc khoản phí dịch vụ bảo trì hệ thống mạng. Nếu khoản phí dịch vụ bảo trì hệ thống mạng của Công ty thuộc đối tượng chịu thuế GTGT và đáp ứng điều kiện theo quy định tại Điều 14, thông tư 219/TT-BTC ngày 31/12/2013 và đáp ứng đầy đủ các điề</w:t>
      </w:r>
      <w:r w:rsidRPr="00D57E0F">
        <w:rPr>
          <w:rFonts w:ascii="Arial" w:hAnsi="Arial" w:cs="Arial"/>
          <w:i w:val="0"/>
          <w:iCs w:val="0"/>
          <w:sz w:val="20"/>
          <w:szCs w:val="20"/>
        </w:rPr>
        <w:t>u kiện theo Khoản 10 Điều 1 Thông tư 26/2015/TT-BTC ngày 27/02/2015 thì được kê khai khấu trừ/hoàn thuế GTGT theo quy định.</w:t>
      </w:r>
    </w:p>
    <w:p w:rsidR="00BE7E73" w:rsidRPr="00D57E0F" w:rsidRDefault="00D47543" w:rsidP="00D57E0F">
      <w:pPr>
        <w:pStyle w:val="Vnbnnidung0"/>
        <w:spacing w:after="120" w:line="240" w:lineRule="auto"/>
        <w:ind w:firstLine="284"/>
        <w:rPr>
          <w:rFonts w:ascii="Arial" w:hAnsi="Arial" w:cs="Arial"/>
          <w:i w:val="0"/>
          <w:iCs w:val="0"/>
          <w:sz w:val="20"/>
          <w:szCs w:val="20"/>
          <w:lang w:val="en-US"/>
        </w:rPr>
      </w:pPr>
      <w:r w:rsidRPr="00D57E0F">
        <w:rPr>
          <w:rFonts w:ascii="Arial" w:hAnsi="Arial" w:cs="Arial"/>
          <w:i w:val="0"/>
          <w:iCs w:val="0"/>
          <w:sz w:val="20"/>
          <w:szCs w:val="20"/>
        </w:rPr>
        <w:t>Cục Thuế tỉnh Hải Dương trả lời để Công ty TNHH KPF Việt Nam được</w:t>
      </w:r>
      <w:r w:rsidR="00D57E0F">
        <w:rPr>
          <w:rFonts w:ascii="Arial" w:hAnsi="Arial" w:cs="Arial"/>
          <w:i w:val="0"/>
          <w:iCs w:val="0"/>
          <w:sz w:val="20"/>
          <w:szCs w:val="20"/>
          <w:lang w:val="en-US"/>
        </w:rPr>
        <w:t xml:space="preserve">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584"/>
      </w:tblGrid>
      <w:tr w:rsidR="00D57E0F" w:rsidRPr="001C31C1" w:rsidTr="006C0B2D">
        <w:tc>
          <w:tcPr>
            <w:tcW w:w="4583" w:type="dxa"/>
          </w:tcPr>
          <w:p w:rsidR="00D57E0F" w:rsidRPr="001C31C1" w:rsidRDefault="00D57E0F" w:rsidP="006C0B2D">
            <w:pPr>
              <w:pStyle w:val="Vnbnnidung0"/>
              <w:tabs>
                <w:tab w:val="left" w:pos="6091"/>
              </w:tabs>
              <w:ind w:firstLine="0"/>
              <w:rPr>
                <w:rFonts w:ascii="Arial" w:hAnsi="Arial" w:cs="Arial"/>
                <w:b/>
                <w:bCs/>
                <w:color w:val="auto"/>
                <w:sz w:val="20"/>
                <w:szCs w:val="20"/>
              </w:rPr>
            </w:pPr>
            <w:r w:rsidRPr="001C31C1">
              <w:rPr>
                <w:rFonts w:ascii="Arial" w:hAnsi="Arial" w:cs="Arial"/>
                <w:b/>
                <w:bCs/>
                <w:color w:val="auto"/>
                <w:sz w:val="20"/>
                <w:szCs w:val="20"/>
              </w:rPr>
              <w:t>Nơi nhận:</w:t>
            </w:r>
          </w:p>
          <w:p w:rsidR="00D57E0F" w:rsidRPr="00D57E0F" w:rsidRDefault="00D57E0F" w:rsidP="00D57E0F">
            <w:pPr>
              <w:pStyle w:val="Vnbnnidung20"/>
              <w:tabs>
                <w:tab w:val="left" w:pos="598"/>
              </w:tabs>
              <w:ind w:firstLine="0"/>
              <w:rPr>
                <w:rFonts w:ascii="Arial" w:hAnsi="Arial" w:cs="Arial"/>
                <w:sz w:val="20"/>
                <w:szCs w:val="20"/>
              </w:rPr>
            </w:pPr>
            <w:r>
              <w:rPr>
                <w:rFonts w:ascii="Arial" w:hAnsi="Arial" w:cs="Arial"/>
                <w:sz w:val="20"/>
                <w:szCs w:val="20"/>
                <w:lang w:val="en-US"/>
              </w:rPr>
              <w:t xml:space="preserve">- </w:t>
            </w:r>
            <w:r w:rsidRPr="00D57E0F">
              <w:rPr>
                <w:rFonts w:ascii="Arial" w:hAnsi="Arial" w:cs="Arial"/>
                <w:sz w:val="20"/>
                <w:szCs w:val="20"/>
              </w:rPr>
              <w:t>Như trên;</w:t>
            </w:r>
          </w:p>
          <w:p w:rsidR="00D57E0F" w:rsidRPr="00D57E0F" w:rsidRDefault="00D57E0F" w:rsidP="00D57E0F">
            <w:pPr>
              <w:pStyle w:val="Vnbnnidung20"/>
              <w:tabs>
                <w:tab w:val="left" w:pos="598"/>
              </w:tabs>
              <w:ind w:firstLine="0"/>
              <w:rPr>
                <w:rFonts w:ascii="Arial" w:hAnsi="Arial" w:cs="Arial"/>
                <w:sz w:val="20"/>
                <w:szCs w:val="20"/>
              </w:rPr>
            </w:pPr>
            <w:bookmarkStart w:id="9" w:name="bookmark9"/>
            <w:bookmarkEnd w:id="9"/>
            <w:r>
              <w:rPr>
                <w:rFonts w:ascii="Arial" w:hAnsi="Arial" w:cs="Arial"/>
                <w:sz w:val="20"/>
                <w:szCs w:val="20"/>
                <w:lang w:val="en-US"/>
              </w:rPr>
              <w:t xml:space="preserve">- </w:t>
            </w:r>
            <w:r w:rsidRPr="00D57E0F">
              <w:rPr>
                <w:rFonts w:ascii="Arial" w:hAnsi="Arial" w:cs="Arial"/>
                <w:sz w:val="20"/>
                <w:szCs w:val="20"/>
              </w:rPr>
              <w:t>Lãnh đạo Cục;</w:t>
            </w:r>
          </w:p>
          <w:p w:rsidR="00D57E0F" w:rsidRPr="00D57E0F" w:rsidRDefault="00D57E0F" w:rsidP="00D57E0F">
            <w:pPr>
              <w:pStyle w:val="Vnbnnidung20"/>
              <w:tabs>
                <w:tab w:val="left" w:pos="598"/>
              </w:tabs>
              <w:ind w:firstLine="0"/>
              <w:rPr>
                <w:rFonts w:ascii="Arial" w:hAnsi="Arial" w:cs="Arial"/>
                <w:sz w:val="20"/>
                <w:szCs w:val="20"/>
              </w:rPr>
            </w:pPr>
            <w:bookmarkStart w:id="10" w:name="bookmark10"/>
            <w:bookmarkEnd w:id="10"/>
            <w:r>
              <w:rPr>
                <w:rFonts w:ascii="Arial" w:hAnsi="Arial" w:cs="Arial"/>
                <w:sz w:val="20"/>
                <w:szCs w:val="20"/>
                <w:lang w:val="en-US"/>
              </w:rPr>
              <w:t xml:space="preserve">- </w:t>
            </w:r>
            <w:r w:rsidRPr="00D57E0F">
              <w:rPr>
                <w:rFonts w:ascii="Arial" w:hAnsi="Arial" w:cs="Arial"/>
                <w:sz w:val="20"/>
                <w:szCs w:val="20"/>
              </w:rPr>
              <w:t>Các phòng: TTKT1,2,3,4; KK; TTHT;</w:t>
            </w:r>
          </w:p>
          <w:p w:rsidR="00D57E0F" w:rsidRPr="00D57E0F" w:rsidRDefault="00D57E0F" w:rsidP="00D57E0F">
            <w:pPr>
              <w:pStyle w:val="Vnbnnidung20"/>
              <w:tabs>
                <w:tab w:val="left" w:pos="598"/>
              </w:tabs>
              <w:ind w:firstLine="0"/>
              <w:rPr>
                <w:rFonts w:ascii="Arial" w:hAnsi="Arial" w:cs="Arial"/>
                <w:sz w:val="20"/>
                <w:szCs w:val="20"/>
              </w:rPr>
            </w:pPr>
            <w:bookmarkStart w:id="11" w:name="bookmark11"/>
            <w:bookmarkEnd w:id="11"/>
            <w:r>
              <w:rPr>
                <w:rFonts w:ascii="Arial" w:hAnsi="Arial" w:cs="Arial"/>
                <w:sz w:val="20"/>
                <w:szCs w:val="20"/>
                <w:lang w:val="en-US"/>
              </w:rPr>
              <w:t xml:space="preserve">- </w:t>
            </w:r>
            <w:r w:rsidRPr="00D57E0F">
              <w:rPr>
                <w:rFonts w:ascii="Arial" w:hAnsi="Arial" w:cs="Arial"/>
                <w:sz w:val="20"/>
                <w:szCs w:val="20"/>
              </w:rPr>
              <w:t>Trang Thông tin điện tử Cục Thuế;</w:t>
            </w:r>
          </w:p>
          <w:p w:rsidR="00D57E0F" w:rsidRPr="00BD0932" w:rsidRDefault="00D57E0F" w:rsidP="00D57E0F">
            <w:pPr>
              <w:pStyle w:val="Vnbnnidung20"/>
              <w:tabs>
                <w:tab w:val="left" w:pos="598"/>
              </w:tabs>
              <w:spacing w:after="80"/>
              <w:ind w:firstLine="0"/>
              <w:rPr>
                <w:rFonts w:ascii="Arial" w:hAnsi="Arial" w:cs="Arial"/>
                <w:sz w:val="20"/>
                <w:szCs w:val="20"/>
              </w:rPr>
            </w:pPr>
            <w:bookmarkStart w:id="12" w:name="bookmark12"/>
            <w:bookmarkEnd w:id="12"/>
            <w:r>
              <w:rPr>
                <w:rFonts w:ascii="Arial" w:hAnsi="Arial" w:cs="Arial"/>
                <w:sz w:val="20"/>
                <w:szCs w:val="20"/>
                <w:lang w:val="en-US"/>
              </w:rPr>
              <w:t xml:space="preserve">- </w:t>
            </w:r>
            <w:r w:rsidRPr="00D57E0F">
              <w:rPr>
                <w:rFonts w:ascii="Arial" w:hAnsi="Arial" w:cs="Arial"/>
                <w:sz w:val="20"/>
                <w:szCs w:val="20"/>
              </w:rPr>
              <w:t>Lưu: VT, TTHT.</w:t>
            </w:r>
          </w:p>
        </w:tc>
        <w:tc>
          <w:tcPr>
            <w:tcW w:w="4584" w:type="dxa"/>
          </w:tcPr>
          <w:p w:rsidR="00D57E0F" w:rsidRPr="001C31C1" w:rsidRDefault="00D57E0F" w:rsidP="006C0B2D">
            <w:pPr>
              <w:pStyle w:val="Vnbnnidung0"/>
              <w:tabs>
                <w:tab w:val="left" w:pos="4030"/>
                <w:tab w:val="left" w:leader="dot" w:pos="4198"/>
              </w:tabs>
              <w:ind w:left="360" w:firstLine="0"/>
              <w:jc w:val="center"/>
              <w:rPr>
                <w:rFonts w:ascii="Arial" w:hAnsi="Arial" w:cs="Arial"/>
                <w:b/>
                <w:i w:val="0"/>
                <w:color w:val="auto"/>
                <w:sz w:val="20"/>
                <w:szCs w:val="20"/>
              </w:rPr>
            </w:pPr>
            <w:r w:rsidRPr="001C31C1">
              <w:rPr>
                <w:rFonts w:ascii="Arial" w:hAnsi="Arial" w:cs="Arial"/>
                <w:b/>
                <w:i w:val="0"/>
                <w:color w:val="auto"/>
                <w:sz w:val="20"/>
                <w:szCs w:val="20"/>
                <w:lang w:val="en-US"/>
              </w:rPr>
              <w:t>KT. C</w:t>
            </w:r>
            <w:r w:rsidRPr="001C31C1">
              <w:rPr>
                <w:rFonts w:ascii="Arial" w:hAnsi="Arial" w:cs="Arial"/>
                <w:b/>
                <w:i w:val="0"/>
                <w:color w:val="auto"/>
                <w:sz w:val="20"/>
                <w:szCs w:val="20"/>
              </w:rPr>
              <w:t>ỤC TRƯỞNG</w:t>
            </w:r>
          </w:p>
          <w:p w:rsidR="00D57E0F" w:rsidRPr="001C31C1" w:rsidRDefault="00D57E0F" w:rsidP="006C0B2D">
            <w:pPr>
              <w:pStyle w:val="Vnbnnidung0"/>
              <w:tabs>
                <w:tab w:val="left" w:pos="4030"/>
                <w:tab w:val="left" w:leader="dot" w:pos="4198"/>
              </w:tabs>
              <w:ind w:left="360" w:firstLine="0"/>
              <w:jc w:val="center"/>
              <w:rPr>
                <w:rFonts w:ascii="Arial" w:hAnsi="Arial" w:cs="Arial"/>
                <w:b/>
                <w:i w:val="0"/>
                <w:color w:val="auto"/>
                <w:sz w:val="20"/>
                <w:szCs w:val="20"/>
              </w:rPr>
            </w:pPr>
            <w:r w:rsidRPr="001C31C1">
              <w:rPr>
                <w:rFonts w:ascii="Arial" w:hAnsi="Arial" w:cs="Arial"/>
                <w:b/>
                <w:i w:val="0"/>
                <w:color w:val="auto"/>
                <w:sz w:val="20"/>
                <w:szCs w:val="20"/>
                <w:lang w:val="en-US"/>
              </w:rPr>
              <w:t>PHÓ C</w:t>
            </w:r>
            <w:r w:rsidRPr="001C31C1">
              <w:rPr>
                <w:rFonts w:ascii="Arial" w:hAnsi="Arial" w:cs="Arial"/>
                <w:b/>
                <w:i w:val="0"/>
                <w:color w:val="auto"/>
                <w:sz w:val="20"/>
                <w:szCs w:val="20"/>
              </w:rPr>
              <w:t>ỤC TRƯỞNG</w:t>
            </w:r>
          </w:p>
          <w:p w:rsidR="00D57E0F" w:rsidRPr="001C31C1" w:rsidRDefault="00D57E0F" w:rsidP="006C0B2D">
            <w:pPr>
              <w:pStyle w:val="Vnbnnidung0"/>
              <w:tabs>
                <w:tab w:val="left" w:pos="4030"/>
                <w:tab w:val="left" w:leader="dot" w:pos="4198"/>
              </w:tabs>
              <w:ind w:left="360" w:firstLine="0"/>
              <w:jc w:val="center"/>
              <w:rPr>
                <w:rFonts w:ascii="Arial" w:hAnsi="Arial" w:cs="Arial"/>
                <w:b/>
                <w:i w:val="0"/>
                <w:color w:val="auto"/>
                <w:sz w:val="20"/>
                <w:szCs w:val="20"/>
              </w:rPr>
            </w:pPr>
          </w:p>
          <w:p w:rsidR="00D57E0F" w:rsidRPr="00BD0932" w:rsidRDefault="00D57E0F" w:rsidP="006C0B2D">
            <w:pPr>
              <w:pStyle w:val="Vnbnnidung0"/>
              <w:tabs>
                <w:tab w:val="left" w:pos="4030"/>
                <w:tab w:val="left" w:leader="dot" w:pos="4198"/>
              </w:tabs>
              <w:ind w:left="360" w:firstLine="0"/>
              <w:jc w:val="center"/>
              <w:rPr>
                <w:rFonts w:ascii="Arial" w:hAnsi="Arial" w:cs="Arial"/>
                <w:b/>
                <w:i w:val="0"/>
                <w:color w:val="auto"/>
                <w:sz w:val="20"/>
                <w:szCs w:val="20"/>
              </w:rPr>
            </w:pPr>
            <w:r>
              <w:rPr>
                <w:rFonts w:ascii="Arial" w:hAnsi="Arial" w:cs="Arial"/>
                <w:b/>
                <w:i w:val="0"/>
                <w:color w:val="auto"/>
                <w:sz w:val="20"/>
                <w:szCs w:val="20"/>
                <w:lang w:val="en-US"/>
              </w:rPr>
              <w:t>Vũ Doãn Ngọc Hưng</w:t>
            </w:r>
          </w:p>
        </w:tc>
      </w:tr>
    </w:tbl>
    <w:p w:rsidR="00BE7E73" w:rsidRPr="00D57E0F" w:rsidRDefault="00BE7E73" w:rsidP="00D57E0F">
      <w:pPr>
        <w:pStyle w:val="Vnbnnidung20"/>
        <w:ind w:firstLine="0"/>
        <w:rPr>
          <w:rFonts w:ascii="Arial" w:hAnsi="Arial" w:cs="Arial"/>
          <w:sz w:val="20"/>
          <w:szCs w:val="20"/>
        </w:rPr>
      </w:pPr>
    </w:p>
    <w:sectPr w:rsidR="00BE7E73" w:rsidRPr="00D57E0F">
      <w:headerReference w:type="default" r:id="rId14"/>
      <w:headerReference w:type="first" r:id="rId15"/>
      <w:type w:val="continuous"/>
      <w:pgSz w:w="11900" w:h="16840"/>
      <w:pgMar w:top="1268" w:right="808" w:bottom="1724" w:left="145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543" w:rsidRDefault="00D47543">
      <w:r>
        <w:separator/>
      </w:r>
    </w:p>
  </w:endnote>
  <w:endnote w:type="continuationSeparator" w:id="0">
    <w:p w:rsidR="00D47543" w:rsidRDefault="00D47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543" w:rsidRDefault="00D47543"/>
  </w:footnote>
  <w:footnote w:type="continuationSeparator" w:id="0">
    <w:p w:rsidR="00D47543" w:rsidRDefault="00D4754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E73" w:rsidRDefault="00D47543">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3931285</wp:posOffset>
              </wp:positionH>
              <wp:positionV relativeFrom="page">
                <wp:posOffset>503555</wp:posOffset>
              </wp:positionV>
              <wp:extent cx="54610" cy="88265"/>
              <wp:effectExtent l="0" t="0" r="0" b="0"/>
              <wp:wrapNone/>
              <wp:docPr id="1" name="Shape 1"/>
              <wp:cNvGraphicFramePr/>
              <a:graphic xmlns:a="http://schemas.openxmlformats.org/drawingml/2006/main">
                <a:graphicData uri="http://schemas.microsoft.com/office/word/2010/wordprocessingShape">
                  <wps:wsp>
                    <wps:cNvSpPr txBox="1"/>
                    <wps:spPr>
                      <a:xfrm>
                        <a:off x="0" y="0"/>
                        <a:ext cx="54610" cy="88265"/>
                      </a:xfrm>
                      <a:prstGeom prst="rect">
                        <a:avLst/>
                      </a:prstGeom>
                      <a:noFill/>
                    </wps:spPr>
                    <wps:txbx>
                      <w:txbxContent>
                        <w:p w:rsidR="00BE7E73" w:rsidRDefault="00D47543">
                          <w:pPr>
                            <w:pStyle w:val="utranghocchntrang20"/>
                            <w:rPr>
                              <w:sz w:val="22"/>
                              <w:szCs w:val="22"/>
                            </w:rPr>
                          </w:pPr>
                          <w:r>
                            <w:fldChar w:fldCharType="begin"/>
                          </w:r>
                          <w:r>
                            <w:instrText xml:space="preserve"> PAGE \* MERGEFORMAT </w:instrText>
                          </w:r>
                          <w:r>
                            <w:fldChar w:fldCharType="separate"/>
                          </w:r>
                          <w:r w:rsidR="00995592" w:rsidRPr="00995592">
                            <w:rPr>
                              <w:rFonts w:ascii="Calibri" w:eastAsia="Calibri" w:hAnsi="Calibri" w:cs="Calibri"/>
                              <w:i/>
                              <w:iCs/>
                              <w:noProof/>
                              <w:sz w:val="22"/>
                              <w:szCs w:val="22"/>
                            </w:rPr>
                            <w:t>2</w:t>
                          </w:r>
                          <w:r>
                            <w:rPr>
                              <w:rFonts w:ascii="Calibri" w:eastAsia="Calibri" w:hAnsi="Calibri" w:cs="Calibri"/>
                              <w:i/>
                              <w:iCs/>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309.55pt;margin-top:39.65pt;width:4.3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" filled="f" stroked="f">
              <v:textbox style="mso-fit-shape-to-text:t" inset="0,0,0,0">
                <w:txbxContent>
                  <w:p w:rsidR="00BE7E73" w:rsidRDefault="00D47543">
                    <w:pPr>
                      <w:pStyle w:val="utranghocchntrang20"/>
                      <w:rPr>
                        <w:sz w:val="22"/>
                        <w:szCs w:val="22"/>
                      </w:rPr>
                    </w:pPr>
                    <w:r>
                      <w:fldChar w:fldCharType="begin"/>
                    </w:r>
                    <w:r>
                      <w:instrText xml:space="preserve"> PAGE \* MERGEFORMAT </w:instrText>
                    </w:r>
                    <w:r>
                      <w:fldChar w:fldCharType="separate"/>
                    </w:r>
                    <w:r w:rsidR="00995592" w:rsidRPr="00995592">
                      <w:rPr>
                        <w:rFonts w:ascii="Calibri" w:eastAsia="Calibri" w:hAnsi="Calibri" w:cs="Calibri"/>
                        <w:i/>
                        <w:iCs/>
                        <w:noProof/>
                        <w:sz w:val="22"/>
                        <w:szCs w:val="22"/>
                      </w:rPr>
                      <w:t>2</w:t>
                    </w:r>
                    <w:r>
                      <w:rPr>
                        <w:rFonts w:ascii="Calibri" w:eastAsia="Calibri" w:hAnsi="Calibri" w:cs="Calibri"/>
                        <w:i/>
                        <w:iCs/>
                        <w:sz w:val="22"/>
                        <w:szCs w:val="22"/>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E73" w:rsidRDefault="00BE7E73">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6E18"/>
    <w:multiLevelType w:val="multilevel"/>
    <w:tmpl w:val="D026FFF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FF0EDF"/>
    <w:multiLevelType w:val="multilevel"/>
    <w:tmpl w:val="4242562A"/>
    <w:lvl w:ilvl="0">
      <w:start w:val="9"/>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282FF6"/>
    <w:multiLevelType w:val="multilevel"/>
    <w:tmpl w:val="72AE05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80B155B"/>
    <w:multiLevelType w:val="multilevel"/>
    <w:tmpl w:val="F71CA50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E73"/>
    <w:rsid w:val="00995592"/>
    <w:rsid w:val="00BE7E73"/>
    <w:rsid w:val="00D47543"/>
    <w:rsid w:val="00D57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8994F"/>
  <w15:docId w15:val="{0F1D2102-2737-4357-BCEC-9C8104D9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color w:val="D55A54"/>
      <w:w w:val="80"/>
      <w:sz w:val="22"/>
      <w:szCs w:val="22"/>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20">
    <w:name w:val="Văn bản nội dung (2)"/>
    <w:basedOn w:val="Normal"/>
    <w:link w:val="Vnbnnidung2"/>
    <w:pPr>
      <w:ind w:firstLine="340"/>
    </w:pPr>
    <w:rPr>
      <w:rFonts w:ascii="Times New Roman" w:eastAsia="Times New Roman" w:hAnsi="Times New Roman" w:cs="Times New Roman"/>
      <w:sz w:val="22"/>
      <w:szCs w:val="22"/>
    </w:rPr>
  </w:style>
  <w:style w:type="paragraph" w:customStyle="1" w:styleId="Vnbnnidung0">
    <w:name w:val="Văn bản nội dung"/>
    <w:basedOn w:val="Normal"/>
    <w:link w:val="Vnbnnidung"/>
    <w:pPr>
      <w:spacing w:after="80" w:line="269" w:lineRule="auto"/>
      <w:ind w:firstLine="400"/>
    </w:pPr>
    <w:rPr>
      <w:rFonts w:ascii="Times New Roman" w:eastAsia="Times New Roman" w:hAnsi="Times New Roman" w:cs="Times New Roman"/>
      <w:i/>
      <w:iCs/>
      <w:sz w:val="28"/>
      <w:szCs w:val="28"/>
    </w:rPr>
  </w:style>
  <w:style w:type="paragraph" w:customStyle="1" w:styleId="Chthchnh0">
    <w:name w:val="Chú thích ảnh"/>
    <w:basedOn w:val="Normal"/>
    <w:link w:val="Chthchnh"/>
    <w:pPr>
      <w:spacing w:line="269" w:lineRule="auto"/>
      <w:jc w:val="right"/>
    </w:pPr>
    <w:rPr>
      <w:rFonts w:ascii="Times New Roman" w:eastAsia="Times New Roman" w:hAnsi="Times New Roman" w:cs="Times New Roman"/>
      <w:b/>
      <w:bCs/>
      <w:color w:val="D55A54"/>
      <w:w w:val="80"/>
      <w:sz w:val="22"/>
      <w:szCs w:val="22"/>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table" w:styleId="TableGrid">
    <w:name w:val="Table Grid"/>
    <w:basedOn w:val="TableNormal"/>
    <w:uiPriority w:val="39"/>
    <w:rsid w:val="00D57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thong-tu-219-2013-tt-btc-huong-dan-luat-thue-gia-tri-gia-tang-va-nghi-dinh-209-2013-nd-cp-220761.aspx" TargetMode="External"/><Relationship Id="rId13" Type="http://schemas.openxmlformats.org/officeDocument/2006/relationships/hyperlink" Target="https://thuvienphapluat.vn/van-ban/doanh-nghiep/thong-tu-151-2014-tt-btc-huong-dan-91-2014-nd-cp-sua-doi-bo-sung-nghi-dinh-quy-dinh-thue-253864.aspx" TargetMode="External"/><Relationship Id="rId3" Type="http://schemas.openxmlformats.org/officeDocument/2006/relationships/settings" Target="settings.xml"/><Relationship Id="rId7" Type="http://schemas.openxmlformats.org/officeDocument/2006/relationships/hyperlink" Target="https://thuvienphapluat.vn/van-ban/thue-phi-le-phi/thong-tu-219-2013-tt-btc-huong-dan-luat-thue-gia-tri-gia-tang-va-nghi-dinh-209-2013-nd-cp-220761.aspx" TargetMode="External"/><Relationship Id="rId12" Type="http://schemas.openxmlformats.org/officeDocument/2006/relationships/hyperlink" Target="https://thuvienphapluat.vn/van-ban/thue-phi-le-phi/thong-tu-119-2014-tt-btc-sua-doi-cac-thong-tu-de-cai-cach-don-gian-thu-tuc-hanh-chinh-ve-thue-246608.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van-ban/doanh-nghiep/thong-tu-151-2014-tt-btc-huong-dan-91-2014-nd-cp-sua-doi-bo-sung-nghi-dinh-quy-dinh-thue-253864.asp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thuvienphapluat.vn/van-ban/thue-phi-le-phi/thong-tu-119-2014-tt-btc-sua-doi-cac-thong-tu-de-cai-cach-don-gian-thu-tuc-hanh-chinh-ve-thue-246608.aspx" TargetMode="External"/><Relationship Id="rId4" Type="http://schemas.openxmlformats.org/officeDocument/2006/relationships/webSettings" Target="webSettings.xml"/><Relationship Id="rId9" Type="http://schemas.openxmlformats.org/officeDocument/2006/relationships/hyperlink" Target="https://thuvienphapluat.vn/van-ban/thuong-mai/nghi-dinh-209-2013-nd-cp-nam-2013-huong-dan-luat-thue-gia-tri-gia-tang-216679.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972</Words>
  <Characters>5546</Characters>
  <Application>Microsoft Office Word</Application>
  <DocSecurity>0</DocSecurity>
  <Lines>46</Lines>
  <Paragraphs>13</Paragraphs>
  <ScaleCrop>false</ScaleCrop>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dc:creator>
  <cp:keywords/>
  <cp:lastModifiedBy>Admin</cp:lastModifiedBy>
  <cp:revision>3</cp:revision>
  <dcterms:created xsi:type="dcterms:W3CDTF">2025-03-14T11:15:00Z</dcterms:created>
  <dcterms:modified xsi:type="dcterms:W3CDTF">2025-03-14T11:23:00Z</dcterms:modified>
</cp:coreProperties>
</file>